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Правой кнопкой мыши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нажимаем на иконку CAD (показано на изображении ниже) – переходим в расположение файлов.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114300" distR="114300">
            <wp:extent cx="3810679" cy="317849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679" cy="3178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Затем в верхней строке нажимаем </w:t>
      </w:r>
      <w:r w:rsidDel="00000000" w:rsidR="00000000" w:rsidRPr="00000000">
        <w:rPr>
          <w:b w:val="1"/>
          <w:color w:val="274e13"/>
          <w:sz w:val="26"/>
          <w:szCs w:val="26"/>
          <w:rtl w:val="0"/>
        </w:rPr>
        <w:t xml:space="preserve">DentalCADApp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3857625" cy="2169795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41026" l="0" r="0" t="1216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69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Переходим в папку </w:t>
      </w:r>
      <w:r w:rsidDel="00000000" w:rsidR="00000000" w:rsidRPr="00000000">
        <w:rPr>
          <w:b w:val="1"/>
          <w:color w:val="274e13"/>
          <w:sz w:val="26"/>
          <w:szCs w:val="26"/>
          <w:rtl w:val="0"/>
        </w:rPr>
        <w:t xml:space="preserve">library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988243" cy="2594504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323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8243" cy="2594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Затем в папку </w:t>
      </w:r>
      <w:r w:rsidDel="00000000" w:rsidR="00000000" w:rsidRPr="00000000">
        <w:rPr>
          <w:b w:val="1"/>
          <w:color w:val="274e13"/>
          <w:sz w:val="26"/>
          <w:szCs w:val="26"/>
          <w:rtl w:val="0"/>
        </w:rPr>
        <w:t xml:space="preserve">Implant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5153025" cy="3598545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14429" l="0" r="0" t="267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598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В папку</w:t>
      </w:r>
      <w:r w:rsidDel="00000000" w:rsidR="00000000" w:rsidRPr="00000000">
        <w:rPr>
          <w:b w:val="1"/>
          <w:color w:val="274e13"/>
          <w:sz w:val="26"/>
          <w:szCs w:val="26"/>
          <w:rtl w:val="0"/>
        </w:rPr>
        <w:t xml:space="preserve"> Implant</w:t>
      </w:r>
      <w:r w:rsidDel="00000000" w:rsidR="00000000" w:rsidRPr="00000000">
        <w:rPr>
          <w:b w:val="1"/>
          <w:sz w:val="26"/>
          <w:szCs w:val="26"/>
          <w:rtl w:val="0"/>
        </w:rPr>
        <w:t xml:space="preserve"> загружаем библиотеки 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114300" distR="114300">
            <wp:extent cx="6838950" cy="203073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298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030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